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УТВЕРЖДЕН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6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остановлени</w:t>
      </w:r>
      <w:r>
        <w:rPr>
          <w:sz w:val="28"/>
          <w:szCs w:val="28"/>
        </w:rPr>
        <w:t xml:space="preserve">ем</w:t>
      </w:r>
      <w:r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6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Мошковского</w:t>
      </w:r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</w:r>
    </w:p>
    <w:p>
      <w:pPr>
        <w:pStyle w:val="666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____________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</w:t>
      </w:r>
      <w:r>
        <w:rPr>
          <w:color w:val="ffffff"/>
          <w:sz w:val="28"/>
          <w:szCs w:val="28"/>
        </w:rPr>
        <w:t xml:space="preserve">.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Style w:val="666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</w:t>
      </w:r>
      <w:r>
        <w:rPr>
          <w:b/>
          <w:sz w:val="28"/>
          <w:szCs w:val="28"/>
        </w:rPr>
        <w:t xml:space="preserve"> ПРОГРАММА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Обеспечение </w:t>
      </w:r>
      <w:r>
        <w:rPr>
          <w:b/>
          <w:sz w:val="28"/>
          <w:szCs w:val="28"/>
        </w:rPr>
        <w:t xml:space="preserve">безопасности дорожного движения в </w:t>
      </w:r>
      <w:r>
        <w:rPr>
          <w:b/>
          <w:sz w:val="28"/>
          <w:szCs w:val="28"/>
        </w:rPr>
        <w:t xml:space="preserve">Мошковском</w:t>
      </w:r>
      <w:r>
        <w:rPr>
          <w:b/>
          <w:sz w:val="28"/>
          <w:szCs w:val="28"/>
        </w:rPr>
        <w:t xml:space="preserve"> районе Нов</w:t>
      </w:r>
      <w:r>
        <w:rPr>
          <w:b/>
          <w:sz w:val="28"/>
          <w:szCs w:val="28"/>
        </w:rPr>
        <w:t xml:space="preserve">о</w:t>
      </w:r>
      <w:r>
        <w:rPr>
          <w:b/>
          <w:sz w:val="28"/>
          <w:szCs w:val="28"/>
        </w:rPr>
        <w:t xml:space="preserve">сибирской области на 20</w:t>
      </w:r>
      <w:r>
        <w:rPr>
          <w:b/>
          <w:sz w:val="28"/>
          <w:szCs w:val="28"/>
        </w:rPr>
        <w:t xml:space="preserve">25</w:t>
      </w:r>
      <w:r>
        <w:rPr>
          <w:b/>
          <w:sz w:val="28"/>
          <w:szCs w:val="28"/>
        </w:rPr>
        <w:t xml:space="preserve">-202</w:t>
      </w:r>
      <w:r>
        <w:rPr>
          <w:b/>
          <w:sz w:val="28"/>
          <w:szCs w:val="28"/>
        </w:rPr>
        <w:t xml:space="preserve">7</w:t>
      </w:r>
      <w:r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</w:r>
    </w:p>
    <w:p>
      <w:pPr>
        <w:pStyle w:val="66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66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</w:t>
      </w:r>
      <w:r>
        <w:rPr>
          <w:b/>
          <w:sz w:val="28"/>
          <w:szCs w:val="28"/>
        </w:rPr>
      </w:r>
    </w:p>
    <w:tbl>
      <w:tblPr>
        <w:tblW w:w="10080" w:type="dxa"/>
        <w:tblInd w:w="-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2880"/>
        <w:gridCol w:w="72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80" w:type="dxa"/>
            <w:vAlign w:val="top"/>
            <w:textDirection w:val="lrTb"/>
            <w:noWrap w:val="false"/>
          </w:tcPr>
          <w:p>
            <w:pPr>
              <w:pStyle w:val="6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</w:t>
            </w:r>
            <w:r>
              <w:rPr>
                <w:sz w:val="28"/>
                <w:szCs w:val="28"/>
              </w:rPr>
              <w:t xml:space="preserve">аименов</w:t>
            </w:r>
            <w:r>
              <w:rPr>
                <w:sz w:val="28"/>
                <w:szCs w:val="28"/>
              </w:rPr>
              <w:t xml:space="preserve">а</w:t>
            </w:r>
            <w:r>
              <w:rPr>
                <w:sz w:val="28"/>
                <w:szCs w:val="28"/>
              </w:rPr>
              <w:t xml:space="preserve">ние Программы</w:t>
            </w:r>
            <w:r>
              <w:rPr>
                <w:sz w:val="28"/>
                <w:szCs w:val="28"/>
              </w:rPr>
            </w:r>
          </w:p>
        </w:tc>
        <w:tc>
          <w:tcPr>
            <w:tcW w:w="7200" w:type="dxa"/>
            <w:vAlign w:val="top"/>
            <w:textDirection w:val="lrTb"/>
            <w:noWrap w:val="false"/>
          </w:tcPr>
          <w:p>
            <w:pPr>
              <w:pStyle w:val="6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</w:t>
            </w:r>
            <w:r>
              <w:rPr>
                <w:sz w:val="28"/>
                <w:szCs w:val="28"/>
              </w:rPr>
              <w:t xml:space="preserve"> программа «</w:t>
            </w:r>
            <w:r>
              <w:rPr>
                <w:sz w:val="28"/>
                <w:szCs w:val="28"/>
              </w:rPr>
              <w:t xml:space="preserve">Обеспечение</w:t>
            </w:r>
            <w:r>
              <w:rPr>
                <w:sz w:val="28"/>
                <w:szCs w:val="28"/>
              </w:rPr>
              <w:t xml:space="preserve"> безопасности дорожного движения в </w:t>
            </w:r>
            <w:r>
              <w:rPr>
                <w:sz w:val="28"/>
                <w:szCs w:val="28"/>
              </w:rPr>
              <w:t xml:space="preserve">Мошковском</w:t>
            </w:r>
            <w:r>
              <w:rPr>
                <w:sz w:val="28"/>
                <w:szCs w:val="28"/>
              </w:rPr>
              <w:t xml:space="preserve"> районе Новосибирской области на 20</w:t>
            </w:r>
            <w:r>
              <w:rPr>
                <w:sz w:val="28"/>
                <w:szCs w:val="28"/>
              </w:rPr>
              <w:t xml:space="preserve">25</w:t>
            </w:r>
            <w:r>
              <w:rPr>
                <w:sz w:val="28"/>
                <w:szCs w:val="28"/>
              </w:rPr>
              <w:t xml:space="preserve">-202</w:t>
            </w:r>
            <w:r>
              <w:rPr>
                <w:sz w:val="28"/>
                <w:szCs w:val="28"/>
              </w:rPr>
              <w:t xml:space="preserve">7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годы»</w:t>
            </w:r>
            <w:r>
              <w:rPr>
                <w:sz w:val="28"/>
                <w:szCs w:val="28"/>
              </w:rPr>
              <w:t xml:space="preserve"> (далее – Программа)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80" w:type="dxa"/>
            <w:vAlign w:val="top"/>
            <w:textDirection w:val="lrTb"/>
            <w:noWrap w:val="false"/>
          </w:tcPr>
          <w:p>
            <w:pPr>
              <w:pStyle w:val="6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разрабо</w:t>
            </w:r>
            <w:r>
              <w:rPr>
                <w:sz w:val="28"/>
                <w:szCs w:val="28"/>
              </w:rPr>
              <w:t xml:space="preserve">т</w:t>
            </w:r>
            <w:r>
              <w:rPr>
                <w:sz w:val="28"/>
                <w:szCs w:val="28"/>
              </w:rPr>
              <w:t xml:space="preserve">чики Программы</w:t>
            </w:r>
            <w:r>
              <w:rPr>
                <w:sz w:val="28"/>
                <w:szCs w:val="28"/>
              </w:rPr>
            </w:r>
          </w:p>
        </w:tc>
        <w:tc>
          <w:tcPr>
            <w:tcW w:w="7200" w:type="dxa"/>
            <w:vAlign w:val="top"/>
            <w:textDirection w:val="lrTb"/>
            <w:noWrap w:val="false"/>
          </w:tcPr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строительства коммунального и дорожного хозяйства администрации Мошковского район Новосибирской области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80" w:type="dxa"/>
            <w:vAlign w:val="top"/>
            <w:textDirection w:val="lrTb"/>
            <w:noWrap w:val="false"/>
          </w:tcPr>
          <w:p>
            <w:pPr>
              <w:pStyle w:val="6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заказчик Программы</w:t>
            </w:r>
            <w:r>
              <w:rPr>
                <w:sz w:val="28"/>
                <w:szCs w:val="28"/>
              </w:rPr>
            </w:r>
          </w:p>
        </w:tc>
        <w:tc>
          <w:tcPr>
            <w:tcW w:w="7200" w:type="dxa"/>
            <w:vAlign w:val="top"/>
            <w:textDirection w:val="lrTb"/>
            <w:noWrap w:val="false"/>
          </w:tcPr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Мошковского</w:t>
            </w:r>
            <w:r>
              <w:rPr>
                <w:sz w:val="28"/>
                <w:szCs w:val="28"/>
              </w:rPr>
              <w:t xml:space="preserve"> района Новосибирской обла</w:t>
            </w:r>
            <w:r>
              <w:rPr>
                <w:sz w:val="28"/>
                <w:szCs w:val="28"/>
              </w:rPr>
              <w:t xml:space="preserve">с</w:t>
            </w:r>
            <w:r>
              <w:rPr>
                <w:sz w:val="28"/>
                <w:szCs w:val="28"/>
              </w:rPr>
              <w:t xml:space="preserve">ти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80" w:type="dxa"/>
            <w:vAlign w:val="top"/>
            <w:textDirection w:val="lrTb"/>
            <w:noWrap w:val="false"/>
          </w:tcPr>
          <w:p>
            <w:pPr>
              <w:pStyle w:val="6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программы</w:t>
            </w:r>
            <w:r>
              <w:rPr>
                <w:sz w:val="28"/>
                <w:szCs w:val="28"/>
              </w:rPr>
            </w:r>
          </w:p>
        </w:tc>
        <w:tc>
          <w:tcPr>
            <w:tcW w:w="7200" w:type="dxa"/>
            <w:vAlign w:val="top"/>
            <w:textDirection w:val="lrTb"/>
            <w:noWrap w:val="false"/>
          </w:tcPr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r>
              <w:rPr>
                <w:sz w:val="28"/>
                <w:szCs w:val="28"/>
              </w:rPr>
              <w:t xml:space="preserve">Мошковского</w:t>
            </w:r>
            <w:r>
              <w:rPr>
                <w:sz w:val="28"/>
                <w:szCs w:val="28"/>
              </w:rPr>
              <w:t xml:space="preserve"> района Новосибирской области </w:t>
            </w:r>
            <w:r>
              <w:rPr>
                <w:sz w:val="28"/>
                <w:szCs w:val="28"/>
              </w:rPr>
              <w:t xml:space="preserve">курирующий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вопросы</w:t>
            </w:r>
            <w:r>
              <w:rPr>
                <w:sz w:val="28"/>
                <w:szCs w:val="28"/>
              </w:rPr>
              <w:t xml:space="preserve"> строительств</w:t>
            </w:r>
            <w:r>
              <w:rPr>
                <w:sz w:val="28"/>
                <w:szCs w:val="28"/>
              </w:rPr>
              <w:t xml:space="preserve">а</w:t>
            </w:r>
            <w:r>
              <w:rPr>
                <w:sz w:val="28"/>
                <w:szCs w:val="28"/>
              </w:rPr>
              <w:t xml:space="preserve"> коммунального</w:t>
            </w:r>
            <w:r>
              <w:rPr>
                <w:sz w:val="28"/>
                <w:szCs w:val="28"/>
              </w:rPr>
              <w:t xml:space="preserve"> и дорожного хозяйства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80" w:type="dxa"/>
            <w:vAlign w:val="top"/>
            <w:textDirection w:val="lrTb"/>
            <w:noWrap w:val="false"/>
          </w:tcPr>
          <w:p>
            <w:pPr>
              <w:pStyle w:val="6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Исполнители основных меропри</w:t>
            </w:r>
            <w:r>
              <w:rPr>
                <w:sz w:val="28"/>
                <w:szCs w:val="28"/>
              </w:rPr>
              <w:t xml:space="preserve">я</w:t>
            </w:r>
            <w:r>
              <w:rPr>
                <w:sz w:val="28"/>
                <w:szCs w:val="28"/>
              </w:rPr>
              <w:t xml:space="preserve">тий Программы</w:t>
            </w:r>
            <w:r>
              <w:rPr>
                <w:sz w:val="28"/>
                <w:szCs w:val="28"/>
              </w:rPr>
            </w:r>
          </w:p>
        </w:tc>
        <w:tc>
          <w:tcPr>
            <w:tcW w:w="7200" w:type="dxa"/>
            <w:vAlign w:val="top"/>
            <w:textDirection w:val="lrTb"/>
            <w:noWrap w:val="false"/>
          </w:tcPr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Муниципальные образования Мошковского района Новосибирской области</w:t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администрации </w:t>
            </w:r>
            <w:r>
              <w:rPr>
                <w:sz w:val="28"/>
                <w:szCs w:val="28"/>
              </w:rPr>
              <w:t xml:space="preserve">Мошковского </w:t>
            </w:r>
            <w:r>
              <w:rPr>
                <w:sz w:val="28"/>
                <w:szCs w:val="28"/>
              </w:rPr>
              <w:t xml:space="preserve">района Новосибирской области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80" w:type="dxa"/>
            <w:vAlign w:val="top"/>
            <w:textDirection w:val="lrTb"/>
            <w:noWrap w:val="false"/>
          </w:tcPr>
          <w:p>
            <w:pPr>
              <w:pStyle w:val="6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и задачи Пр</w:t>
            </w:r>
            <w:r>
              <w:rPr>
                <w:sz w:val="28"/>
                <w:szCs w:val="28"/>
              </w:rPr>
              <w:t xml:space="preserve">о</w:t>
            </w:r>
            <w:r>
              <w:rPr>
                <w:sz w:val="28"/>
                <w:szCs w:val="28"/>
              </w:rPr>
              <w:t xml:space="preserve">граммы</w:t>
            </w:r>
            <w:r>
              <w:rPr>
                <w:sz w:val="28"/>
                <w:szCs w:val="28"/>
              </w:rPr>
            </w:r>
          </w:p>
        </w:tc>
        <w:tc>
          <w:tcPr>
            <w:tcW w:w="7200" w:type="dxa"/>
            <w:vAlign w:val="top"/>
            <w:textDirection w:val="lrTb"/>
            <w:noWrap w:val="false"/>
          </w:tcPr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Программы –</w:t>
            </w:r>
            <w:r>
              <w:rPr>
                <w:sz w:val="28"/>
                <w:szCs w:val="28"/>
              </w:rPr>
              <w:t xml:space="preserve"> сокращение количества лиц, погибших в результате дорожно-транспортных происшествий и с</w:t>
            </w:r>
            <w:r>
              <w:rPr>
                <w:sz w:val="28"/>
                <w:szCs w:val="28"/>
              </w:rPr>
              <w:t xml:space="preserve">о</w:t>
            </w:r>
            <w:r>
              <w:rPr>
                <w:sz w:val="28"/>
                <w:szCs w:val="28"/>
              </w:rPr>
              <w:t xml:space="preserve">кращение количества ДТП с пострадавшими.</w:t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Воспитание культуры участников дорожного движения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безопасности дорожного движения в поселениях района.</w:t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 Программы:</w:t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numPr>
                <w:ilvl w:val="0"/>
                <w:numId w:val="2"/>
              </w:numPr>
              <w:ind w:left="0" w:firstLine="0"/>
              <w:jc w:val="both"/>
              <w:tabs>
                <w:tab w:val="num" w:pos="252" w:leader="none"/>
                <w:tab w:val="clear" w:pos="72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безопасности движения на улично-дорожной сети;</w:t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numPr>
                <w:ilvl w:val="0"/>
                <w:numId w:val="2"/>
              </w:numPr>
              <w:ind w:left="0" w:firstLine="0"/>
              <w:jc w:val="both"/>
              <w:tabs>
                <w:tab w:val="num" w:pos="252" w:leader="none"/>
                <w:tab w:val="clear" w:pos="720" w:leader="none"/>
              </w:tabs>
            </w:pPr>
            <w:r>
              <w:rPr>
                <w:sz w:val="28"/>
                <w:szCs w:val="28"/>
              </w:rPr>
              <w:t xml:space="preserve">Предупреждение детского дорожно-транспортного тра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z w:val="28"/>
                <w:szCs w:val="28"/>
              </w:rPr>
              <w:t xml:space="preserve">матизма (далее – ДДТТ);</w:t>
            </w:r>
            <w:r/>
          </w:p>
          <w:p>
            <w:pPr>
              <w:pStyle w:val="666"/>
              <w:numPr>
                <w:ilvl w:val="0"/>
                <w:numId w:val="2"/>
              </w:numPr>
              <w:ind w:left="0" w:firstLine="0"/>
              <w:jc w:val="both"/>
              <w:tabs>
                <w:tab w:val="num" w:pos="252" w:leader="none"/>
                <w:tab w:val="clear" w:pos="72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Совершенствование системы пропаганды формирования негативного отношения к правонарушениям в сфере д</w:t>
            </w:r>
            <w:r>
              <w:rPr>
                <w:sz w:val="28"/>
                <w:szCs w:val="28"/>
              </w:rPr>
              <w:t xml:space="preserve">о</w:t>
            </w:r>
            <w:r>
              <w:rPr>
                <w:sz w:val="28"/>
                <w:szCs w:val="28"/>
              </w:rPr>
              <w:t xml:space="preserve">рожного движения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numPr>
                <w:ilvl w:val="0"/>
                <w:numId w:val="2"/>
              </w:numPr>
              <w:ind w:left="0" w:firstLine="0"/>
              <w:jc w:val="both"/>
              <w:tabs>
                <w:tab w:val="num" w:pos="252" w:leader="none"/>
                <w:tab w:val="clear" w:pos="72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Совершенствование дорожных покрытий в поселениях района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80" w:type="dxa"/>
            <w:vAlign w:val="top"/>
            <w:textDirection w:val="lrTb"/>
            <w:noWrap w:val="false"/>
          </w:tcPr>
          <w:p>
            <w:pPr>
              <w:pStyle w:val="6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(этапы) ре</w:t>
            </w:r>
            <w:r>
              <w:rPr>
                <w:sz w:val="28"/>
                <w:szCs w:val="28"/>
              </w:rPr>
              <w:t xml:space="preserve">а</w:t>
            </w:r>
            <w:r>
              <w:rPr>
                <w:sz w:val="28"/>
                <w:szCs w:val="28"/>
              </w:rPr>
              <w:t xml:space="preserve">лизации Программы</w:t>
            </w:r>
            <w:r>
              <w:rPr>
                <w:sz w:val="28"/>
                <w:szCs w:val="28"/>
              </w:rPr>
            </w:r>
          </w:p>
        </w:tc>
        <w:tc>
          <w:tcPr>
            <w:tcW w:w="7200" w:type="dxa"/>
            <w:vAlign w:val="top"/>
            <w:textDirection w:val="lrTb"/>
            <w:noWrap w:val="false"/>
          </w:tcPr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б</w:t>
            </w:r>
            <w:r>
              <w:rPr>
                <w:sz w:val="28"/>
                <w:szCs w:val="28"/>
              </w:rPr>
              <w:t xml:space="preserve">удет реализовываться в течение 3 лет с 20</w:t>
            </w:r>
            <w:r>
              <w:rPr>
                <w:sz w:val="28"/>
                <w:szCs w:val="28"/>
              </w:rPr>
              <w:t xml:space="preserve">25 </w:t>
            </w:r>
            <w:r>
              <w:rPr>
                <w:sz w:val="28"/>
                <w:szCs w:val="28"/>
              </w:rPr>
              <w:t xml:space="preserve">по 202</w:t>
            </w:r>
            <w:r>
              <w:rPr>
                <w:sz w:val="28"/>
                <w:szCs w:val="28"/>
              </w:rPr>
              <w:t xml:space="preserve">7</w:t>
            </w:r>
            <w:r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80" w:type="dxa"/>
            <w:vAlign w:val="top"/>
            <w:textDirection w:val="lrTb"/>
            <w:noWrap w:val="false"/>
          </w:tcPr>
          <w:p>
            <w:pPr>
              <w:pStyle w:val="6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финансирования</w:t>
            </w:r>
            <w:r>
              <w:rPr>
                <w:sz w:val="28"/>
                <w:szCs w:val="28"/>
              </w:rPr>
            </w:r>
          </w:p>
        </w:tc>
        <w:tc>
          <w:tcPr>
            <w:tcW w:w="7200" w:type="dxa"/>
            <w:vAlign w:val="top"/>
            <w:textDirection w:val="lrTb"/>
            <w:noWrap w:val="false"/>
          </w:tcPr>
          <w:p>
            <w:pPr>
              <w:pStyle w:val="666"/>
              <w:jc w:val="both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  <w:t xml:space="preserve">Объемы финансирования</w:t>
            </w:r>
            <w:r>
              <w:rPr>
                <w:sz w:val="28"/>
                <w:szCs w:val="28"/>
              </w:rPr>
              <w:t xml:space="preserve"> Программы составляет: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  <w:t xml:space="preserve">20</w:t>
            </w:r>
            <w:r>
              <w:rPr>
                <w:sz w:val="28"/>
                <w:szCs w:val="28"/>
              </w:rPr>
              <w:t xml:space="preserve">25</w:t>
            </w:r>
            <w:r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100,00</w:t>
            </w:r>
            <w:r>
              <w:rPr>
                <w:sz w:val="28"/>
                <w:szCs w:val="28"/>
              </w:rPr>
              <w:t xml:space="preserve"> тыс. рублей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100,00</w:t>
            </w:r>
            <w:r>
              <w:rPr>
                <w:sz w:val="28"/>
                <w:szCs w:val="28"/>
              </w:rPr>
              <w:t xml:space="preserve"> тыс. рублей;</w:t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7</w:t>
            </w:r>
            <w:r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100,00</w:t>
            </w:r>
            <w:r>
              <w:rPr>
                <w:sz w:val="28"/>
                <w:szCs w:val="28"/>
              </w:rPr>
              <w:t xml:space="preserve"> тыс. рублей;</w:t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80" w:type="dxa"/>
            <w:vAlign w:val="top"/>
            <w:textDirection w:val="lrTb"/>
            <w:noWrap w:val="false"/>
          </w:tcPr>
          <w:p>
            <w:pPr>
              <w:pStyle w:val="67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Важнейшие целевые индикаторы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конечные результаты реализации программы, выраженные в количественно измеримых показателях</w:t>
            </w:r>
            <w:r>
              <w:rPr>
                <w:sz w:val="28"/>
                <w:szCs w:val="28"/>
              </w:rPr>
            </w:r>
          </w:p>
        </w:tc>
        <w:tc>
          <w:tcPr>
            <w:tcW w:w="7200" w:type="dxa"/>
            <w:vAlign w:val="top"/>
            <w:textDirection w:val="lrTb"/>
            <w:noWrap w:val="false"/>
          </w:tcPr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Число лиц, пострадавших в дорожно-транспортных происш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ствиях;</w:t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Число детей, пострадавших в дорожно-транспортных происш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ствиях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Килом</w:t>
            </w:r>
            <w:r>
              <w:rPr>
                <w:sz w:val="28"/>
                <w:szCs w:val="28"/>
              </w:rPr>
              <w:t xml:space="preserve">етры</w:t>
            </w:r>
            <w:r>
              <w:rPr>
                <w:sz w:val="28"/>
                <w:szCs w:val="28"/>
              </w:rPr>
              <w:t xml:space="preserve">,</w:t>
            </w:r>
            <w:r>
              <w:rPr>
                <w:sz w:val="28"/>
                <w:szCs w:val="28"/>
              </w:rPr>
              <w:t xml:space="preserve"> отремонтированных участков дорог;</w:t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Килом</w:t>
            </w:r>
            <w:r>
              <w:rPr>
                <w:sz w:val="28"/>
                <w:szCs w:val="28"/>
              </w:rPr>
              <w:t xml:space="preserve">етры</w:t>
            </w:r>
            <w:r>
              <w:rPr>
                <w:sz w:val="28"/>
                <w:szCs w:val="28"/>
              </w:rPr>
              <w:t xml:space="preserve">,</w:t>
            </w:r>
            <w:r>
              <w:rPr>
                <w:sz w:val="28"/>
                <w:szCs w:val="28"/>
              </w:rPr>
              <w:t xml:space="preserve"> построенных тротуаров.</w:t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Важнейшими показателями Программы являются: сниж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ние уровня аварийности и тяжести последствий в ДТП ежегодно на 5%, в целом по Программе, на 15-2</w:t>
            </w:r>
            <w:r>
              <w:rPr>
                <w:sz w:val="28"/>
                <w:szCs w:val="28"/>
              </w:rPr>
              <w:t xml:space="preserve">5</w:t>
            </w:r>
            <w:r>
              <w:rPr>
                <w:sz w:val="28"/>
                <w:szCs w:val="28"/>
              </w:rPr>
              <w:t xml:space="preserve">%.</w:t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уровня безопасности дорожного движения на дорогах района.</w:t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навыков безопасного поведения на дорогах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отремонтированных участков дорог поселений ежего</w:t>
            </w:r>
            <w:r>
              <w:rPr>
                <w:sz w:val="28"/>
                <w:szCs w:val="28"/>
              </w:rPr>
              <w:t xml:space="preserve">дно на 2</w:t>
            </w:r>
            <w:r>
              <w:rPr>
                <w:sz w:val="28"/>
                <w:szCs w:val="28"/>
              </w:rPr>
              <w:t xml:space="preserve">0 км.</w:t>
            </w:r>
            <w:r>
              <w:rPr>
                <w:sz w:val="28"/>
                <w:szCs w:val="28"/>
              </w:rPr>
            </w:r>
          </w:p>
          <w:p>
            <w:pPr>
              <w:pStyle w:val="6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 тротуаров в</w:t>
            </w:r>
            <w:r>
              <w:rPr>
                <w:sz w:val="28"/>
                <w:szCs w:val="28"/>
              </w:rPr>
              <w:t xml:space="preserve"> поселениях района ежегодно по 3</w:t>
            </w:r>
            <w:r>
              <w:rPr>
                <w:sz w:val="28"/>
                <w:szCs w:val="28"/>
              </w:rPr>
              <w:t xml:space="preserve"> км</w:t>
            </w:r>
            <w:r>
              <w:rPr>
                <w:sz w:val="28"/>
                <w:szCs w:val="28"/>
              </w:rPr>
            </w:r>
          </w:p>
        </w:tc>
      </w:tr>
    </w:tbl>
    <w:sectPr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420"/>
        <w:tabs>
          <w:tab w:val="num" w:pos="7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  <w:tabs>
          <w:tab w:val="num" w:pos="108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  <w:tabs>
          <w:tab w:val="num" w:pos="252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  <w:tabs>
          <w:tab w:val="num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60" w:hanging="360"/>
        <w:tabs>
          <w:tab w:val="num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440" w:hanging="720"/>
        <w:tabs>
          <w:tab w:val="num" w:pos="14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60" w:hanging="360"/>
        <w:tabs>
          <w:tab w:val="num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  <w:tabs>
          <w:tab w:val="num" w:pos="786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  <w:tabs>
          <w:tab w:val="num" w:pos="1506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  <w:tabs>
          <w:tab w:val="num" w:pos="2226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  <w:tabs>
          <w:tab w:val="num" w:pos="2946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  <w:tabs>
          <w:tab w:val="num" w:pos="3666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  <w:tabs>
          <w:tab w:val="num" w:pos="4386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  <w:tabs>
          <w:tab w:val="num" w:pos="5106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  <w:tabs>
          <w:tab w:val="num" w:pos="5826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  <w:tabs>
          <w:tab w:val="num" w:pos="6546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  <w:tabs>
          <w:tab w:val="num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60" w:hanging="360"/>
        <w:tabs>
          <w:tab w:val="num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750" w:hanging="390"/>
        <w:tabs>
          <w:tab w:val="num" w:pos="750" w:leader="none"/>
        </w:tabs>
      </w:pPr>
      <w:rPr>
        <w:i/>
      </w:rPr>
    </w:lvl>
    <w:lvl w:ilvl="2">
      <w:start w:val="1"/>
      <w:numFmt w:val="decimal"/>
      <w:isLgl w:val="false"/>
      <w:suff w:val="tab"/>
      <w:lvlText w:val="%1.%2.%3"/>
      <w:lvlJc w:val="left"/>
      <w:pPr>
        <w:ind w:left="1080" w:hanging="720"/>
        <w:tabs>
          <w:tab w:val="num" w:pos="108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72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44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180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1800"/>
        <w:tabs>
          <w:tab w:val="num" w:pos="216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8"/>
  </w:num>
  <w:num w:numId="2">
    <w:abstractNumId w:val="18"/>
  </w:num>
  <w:num w:numId="3">
    <w:abstractNumId w:val="2"/>
  </w:num>
  <w:num w:numId="4">
    <w:abstractNumId w:val="21"/>
  </w:num>
  <w:num w:numId="5">
    <w:abstractNumId w:val="16"/>
  </w:num>
  <w:num w:numId="6">
    <w:abstractNumId w:val="7"/>
  </w:num>
  <w:num w:numId="7">
    <w:abstractNumId w:val="20"/>
  </w:num>
  <w:num w:numId="8">
    <w:abstractNumId w:val="17"/>
  </w:num>
  <w:num w:numId="9">
    <w:abstractNumId w:val="11"/>
  </w:num>
  <w:num w:numId="10">
    <w:abstractNumId w:val="0"/>
  </w:num>
  <w:num w:numId="11">
    <w:abstractNumId w:val="1"/>
  </w:num>
  <w:num w:numId="12">
    <w:abstractNumId w:val="19"/>
  </w:num>
  <w:num w:numId="13">
    <w:abstractNumId w:val="5"/>
  </w:num>
  <w:num w:numId="14">
    <w:abstractNumId w:val="22"/>
  </w:num>
  <w:num w:numId="15">
    <w:abstractNumId w:val="24"/>
  </w:num>
  <w:num w:numId="16">
    <w:abstractNumId w:val="9"/>
  </w:num>
  <w:num w:numId="17">
    <w:abstractNumId w:val="3"/>
  </w:num>
  <w:num w:numId="18">
    <w:abstractNumId w:val="4"/>
  </w:num>
  <w:num w:numId="19">
    <w:abstractNumId w:val="14"/>
  </w:num>
  <w:num w:numId="20">
    <w:abstractNumId w:val="10"/>
  </w:num>
  <w:num w:numId="21">
    <w:abstractNumId w:val="13"/>
  </w:num>
  <w:num w:numId="22">
    <w:abstractNumId w:val="23"/>
  </w:num>
  <w:num w:numId="23">
    <w:abstractNumId w:val="12"/>
  </w:num>
  <w:num w:numId="24">
    <w:abstractNumId w:val="15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66"/>
    <w:next w:val="66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66"/>
    <w:next w:val="66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66"/>
    <w:next w:val="66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66"/>
    <w:next w:val="66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66"/>
    <w:next w:val="66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66"/>
    <w:next w:val="66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66"/>
    <w:next w:val="66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66"/>
    <w:next w:val="66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66"/>
    <w:next w:val="66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6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66"/>
    <w:next w:val="66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66"/>
    <w:next w:val="66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66"/>
    <w:next w:val="66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66"/>
    <w:next w:val="66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6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66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66"/>
    <w:next w:val="6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6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6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66"/>
    <w:next w:val="66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66"/>
    <w:next w:val="66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66"/>
    <w:next w:val="66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66"/>
    <w:next w:val="66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66"/>
    <w:next w:val="66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66"/>
    <w:next w:val="66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66"/>
    <w:next w:val="66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66"/>
    <w:next w:val="66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66"/>
    <w:next w:val="66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66"/>
    <w:next w:val="666"/>
    <w:uiPriority w:val="99"/>
    <w:unhideWhenUsed/>
    <w:pPr>
      <w:spacing w:after="0" w:afterAutospacing="0"/>
    </w:pPr>
  </w:style>
  <w:style w:type="paragraph" w:styleId="666" w:default="1">
    <w:name w:val="Normal"/>
    <w:next w:val="666"/>
    <w:link w:val="666"/>
    <w:qFormat/>
    <w:rPr>
      <w:sz w:val="24"/>
      <w:szCs w:val="24"/>
      <w:lang w:val="ru-RU" w:eastAsia="ru-RU" w:bidi="ar-SA"/>
    </w:rPr>
  </w:style>
  <w:style w:type="paragraph" w:styleId="667">
    <w:name w:val="Заголовок 1"/>
    <w:basedOn w:val="666"/>
    <w:next w:val="666"/>
    <w:link w:val="677"/>
    <w:qFormat/>
    <w:pPr>
      <w:keepNext/>
      <w:outlineLvl w:val="0"/>
    </w:pPr>
    <w:rPr>
      <w:sz w:val="28"/>
      <w:szCs w:val="20"/>
    </w:rPr>
  </w:style>
  <w:style w:type="paragraph" w:styleId="668">
    <w:name w:val="Заголовок 2"/>
    <w:basedOn w:val="666"/>
    <w:next w:val="666"/>
    <w:link w:val="678"/>
    <w:qFormat/>
    <w:pPr>
      <w:jc w:val="center"/>
      <w:keepNext/>
      <w:outlineLvl w:val="1"/>
    </w:pPr>
    <w:rPr>
      <w:b/>
      <w:sz w:val="52"/>
      <w:szCs w:val="20"/>
    </w:rPr>
  </w:style>
  <w:style w:type="character" w:styleId="669">
    <w:name w:val="Основной шрифт абзаца"/>
    <w:next w:val="669"/>
    <w:link w:val="666"/>
    <w:semiHidden/>
  </w:style>
  <w:style w:type="table" w:styleId="670">
    <w:name w:val="Обычная таблица"/>
    <w:next w:val="670"/>
    <w:link w:val="666"/>
    <w:semiHidden/>
    <w:tblPr/>
  </w:style>
  <w:style w:type="numbering" w:styleId="671">
    <w:name w:val="Нет списка"/>
    <w:next w:val="671"/>
    <w:link w:val="666"/>
    <w:semiHidden/>
  </w:style>
  <w:style w:type="table" w:styleId="672">
    <w:name w:val="Сетка таблицы"/>
    <w:basedOn w:val="670"/>
    <w:next w:val="672"/>
    <w:link w:val="666"/>
    <w:tblPr/>
  </w:style>
  <w:style w:type="paragraph" w:styleId="673">
    <w:name w:val="ConsPlusCell"/>
    <w:next w:val="673"/>
    <w:link w:val="666"/>
    <w:pPr>
      <w:widowControl w:val="off"/>
    </w:pPr>
    <w:rPr>
      <w:sz w:val="24"/>
      <w:szCs w:val="24"/>
      <w:lang w:val="ru-RU" w:eastAsia="ru-RU" w:bidi="ar-SA"/>
    </w:rPr>
  </w:style>
  <w:style w:type="character" w:styleId="674">
    <w:name w:val="Строгий"/>
    <w:next w:val="674"/>
    <w:link w:val="666"/>
    <w:qFormat/>
    <w:rPr>
      <w:rFonts w:cs="Times New Roman"/>
      <w:b/>
      <w:bCs/>
    </w:rPr>
  </w:style>
  <w:style w:type="paragraph" w:styleId="675">
    <w:name w:val="Текст выноски"/>
    <w:basedOn w:val="666"/>
    <w:next w:val="675"/>
    <w:link w:val="676"/>
    <w:rPr>
      <w:rFonts w:ascii="Tahoma" w:hAnsi="Tahoma" w:cs="Tahoma"/>
      <w:sz w:val="16"/>
      <w:szCs w:val="16"/>
    </w:rPr>
  </w:style>
  <w:style w:type="character" w:styleId="676">
    <w:name w:val="Текст выноски Знак"/>
    <w:next w:val="676"/>
    <w:link w:val="675"/>
    <w:rPr>
      <w:rFonts w:ascii="Tahoma" w:hAnsi="Tahoma" w:cs="Tahoma"/>
      <w:sz w:val="16"/>
      <w:szCs w:val="16"/>
    </w:rPr>
  </w:style>
  <w:style w:type="character" w:styleId="677">
    <w:name w:val="Заголовок 1 Знак"/>
    <w:next w:val="677"/>
    <w:link w:val="667"/>
    <w:rPr>
      <w:sz w:val="28"/>
    </w:rPr>
  </w:style>
  <w:style w:type="character" w:styleId="678">
    <w:name w:val="Заголовок 2 Знак"/>
    <w:next w:val="678"/>
    <w:link w:val="668"/>
    <w:rPr>
      <w:b/>
      <w:sz w:val="52"/>
    </w:rPr>
  </w:style>
  <w:style w:type="paragraph" w:styleId="679">
    <w:name w:val="Основной текст 2"/>
    <w:basedOn w:val="666"/>
    <w:next w:val="679"/>
    <w:link w:val="680"/>
    <w:pPr>
      <w:ind w:right="5478"/>
    </w:pPr>
    <w:rPr>
      <w:sz w:val="28"/>
      <w:szCs w:val="20"/>
    </w:rPr>
  </w:style>
  <w:style w:type="character" w:styleId="680">
    <w:name w:val="Основной текст 2 Знак"/>
    <w:next w:val="680"/>
    <w:link w:val="679"/>
    <w:rPr>
      <w:sz w:val="28"/>
    </w:rPr>
  </w:style>
  <w:style w:type="paragraph" w:styleId="681">
    <w:name w:val="Основной текст с отступом"/>
    <w:basedOn w:val="666"/>
    <w:next w:val="681"/>
    <w:link w:val="682"/>
    <w:pPr>
      <w:ind w:firstLine="709"/>
      <w:jc w:val="both"/>
    </w:pPr>
    <w:rPr>
      <w:sz w:val="28"/>
      <w:szCs w:val="20"/>
    </w:rPr>
  </w:style>
  <w:style w:type="character" w:styleId="682">
    <w:name w:val="Основной текст с отступом Знак"/>
    <w:next w:val="682"/>
    <w:link w:val="681"/>
    <w:rPr>
      <w:sz w:val="28"/>
    </w:rPr>
  </w:style>
  <w:style w:type="paragraph" w:styleId="683">
    <w:name w:val="Название"/>
    <w:basedOn w:val="666"/>
    <w:next w:val="683"/>
    <w:link w:val="684"/>
    <w:qFormat/>
    <w:pPr>
      <w:jc w:val="center"/>
    </w:pPr>
    <w:rPr>
      <w:b/>
      <w:sz w:val="34"/>
      <w:szCs w:val="20"/>
    </w:rPr>
  </w:style>
  <w:style w:type="character" w:styleId="684">
    <w:name w:val="Название Знак"/>
    <w:next w:val="684"/>
    <w:link w:val="683"/>
    <w:rPr>
      <w:b/>
      <w:sz w:val="34"/>
    </w:rPr>
  </w:style>
  <w:style w:type="paragraph" w:styleId="685">
    <w:name w:val="Верхний колонтитул"/>
    <w:basedOn w:val="666"/>
    <w:next w:val="685"/>
    <w:link w:val="686"/>
    <w:uiPriority w:val="99"/>
    <w:pPr>
      <w:tabs>
        <w:tab w:val="center" w:pos="4677" w:leader="none"/>
        <w:tab w:val="right" w:pos="9355" w:leader="none"/>
      </w:tabs>
    </w:pPr>
  </w:style>
  <w:style w:type="character" w:styleId="686">
    <w:name w:val="Верхний колонтитул Знак"/>
    <w:next w:val="686"/>
    <w:link w:val="685"/>
    <w:uiPriority w:val="99"/>
    <w:rPr>
      <w:sz w:val="24"/>
      <w:szCs w:val="24"/>
    </w:rPr>
  </w:style>
  <w:style w:type="paragraph" w:styleId="687">
    <w:name w:val="Нижний колонтитул"/>
    <w:basedOn w:val="666"/>
    <w:next w:val="687"/>
    <w:link w:val="688"/>
    <w:pPr>
      <w:tabs>
        <w:tab w:val="center" w:pos="4677" w:leader="none"/>
        <w:tab w:val="right" w:pos="9355" w:leader="none"/>
      </w:tabs>
    </w:pPr>
  </w:style>
  <w:style w:type="character" w:styleId="688">
    <w:name w:val="Нижний колонтитул Знак"/>
    <w:next w:val="688"/>
    <w:link w:val="687"/>
    <w:rPr>
      <w:sz w:val="24"/>
      <w:szCs w:val="24"/>
    </w:rPr>
  </w:style>
  <w:style w:type="character" w:styleId="1157" w:default="1">
    <w:name w:val="Default Paragraph Font"/>
    <w:uiPriority w:val="1"/>
    <w:semiHidden/>
    <w:unhideWhenUsed/>
  </w:style>
  <w:style w:type="numbering" w:styleId="1158" w:default="1">
    <w:name w:val="No List"/>
    <w:uiPriority w:val="99"/>
    <w:semiHidden/>
    <w:unhideWhenUsed/>
  </w:style>
  <w:style w:type="table" w:styleId="115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Р7-Офис/2024.3.1.487</Application>
  <Company>Home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РАЙОННАЯ ЦЕЛЕВАЯ ПРОГРАММА</dc:title>
  <dc:creator>Сергей</dc:creator>
  <cp:revision>4</cp:revision>
  <dcterms:created xsi:type="dcterms:W3CDTF">2024-11-08T08:46:00Z</dcterms:created>
  <dcterms:modified xsi:type="dcterms:W3CDTF">2024-11-08T08:50:06Z</dcterms:modified>
  <cp:version>1048576</cp:version>
</cp:coreProperties>
</file>